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0B79" w14:textId="3CCC9995"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6927F0">
        <w:rPr>
          <w:b/>
          <w:sz w:val="20"/>
          <w:szCs w:val="20"/>
          <w:u w:val="single"/>
        </w:rPr>
        <w:t>Flores Bedregal y otras</w:t>
      </w:r>
      <w:r w:rsidR="00CF7246" w:rsidRPr="00B32A37">
        <w:rPr>
          <w:b/>
          <w:i/>
          <w:sz w:val="20"/>
          <w:szCs w:val="20"/>
          <w:u w:val="single"/>
          <w:lang w:val="es-CR"/>
        </w:rPr>
        <w:t xml:space="preserve"> </w:t>
      </w:r>
      <w:r w:rsidRPr="00B32A37">
        <w:rPr>
          <w:b/>
          <w:i/>
          <w:sz w:val="20"/>
          <w:szCs w:val="20"/>
          <w:u w:val="single"/>
          <w:lang w:val="es-CR"/>
        </w:rPr>
        <w:t xml:space="preserve">Vs. </w:t>
      </w:r>
      <w:r w:rsidR="006927F0">
        <w:rPr>
          <w:b/>
          <w:sz w:val="20"/>
          <w:szCs w:val="20"/>
          <w:u w:val="single"/>
          <w:lang w:val="es-MX"/>
        </w:rPr>
        <w:t>Bolivia</w:t>
      </w:r>
      <w:r w:rsidRPr="00296F77">
        <w:rPr>
          <w:b/>
          <w:sz w:val="20"/>
          <w:szCs w:val="20"/>
          <w:u w:val="single"/>
          <w:lang w:val="es-MX"/>
        </w:rPr>
        <w:t>: reparaciones pendientes de cumplimiento</w:t>
      </w:r>
    </w:p>
    <w:p w14:paraId="182AED16" w14:textId="77777777" w:rsidR="00D16260" w:rsidRPr="00296F77" w:rsidRDefault="00D16260"/>
    <w:p w14:paraId="41D62D73" w14:textId="77777777" w:rsidR="00296F77" w:rsidRDefault="00296F77" w:rsidP="00296F77">
      <w:pPr>
        <w:tabs>
          <w:tab w:val="left" w:pos="709"/>
        </w:tabs>
        <w:ind w:right="99"/>
        <w:jc w:val="both"/>
      </w:pPr>
    </w:p>
    <w:p w14:paraId="509A610E" w14:textId="48B716BF" w:rsidR="008C1FD0" w:rsidRPr="00750BE1" w:rsidRDefault="006927F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6927F0">
        <w:rPr>
          <w:rFonts w:eastAsia="Cambria" w:cs="Times New Roman"/>
          <w:bCs/>
          <w:sz w:val="20"/>
          <w:szCs w:val="20"/>
        </w:rPr>
        <w:t>Realizar</w:t>
      </w:r>
      <w:r>
        <w:rPr>
          <w:rFonts w:eastAsia="Cambria" w:cs="Times New Roman"/>
          <w:bCs/>
          <w:sz w:val="20"/>
          <w:szCs w:val="20"/>
        </w:rPr>
        <w:t xml:space="preserve"> </w:t>
      </w:r>
      <w:r w:rsidRPr="006927F0">
        <w:rPr>
          <w:rFonts w:eastAsia="Cambria" w:cs="Times New Roman"/>
          <w:bCs/>
          <w:sz w:val="20"/>
          <w:szCs w:val="20"/>
        </w:rPr>
        <w:t>las investigaciones para esclarecer las circunstancias de la desaparición forzada de Juan Carlos Flores Bedregal en un plazo razonable a partir de la notificación de la presente Sentencia, de conformidad con lo establecido en los párrafos 177 a 179 de la presente Sentencia</w:t>
      </w:r>
      <w:r w:rsidR="00AF60D4">
        <w:rPr>
          <w:rFonts w:eastAsia="Cambria" w:cs="Times New Roman"/>
          <w:bCs/>
          <w:sz w:val="20"/>
          <w:szCs w:val="20"/>
        </w:rPr>
        <w:t>.</w:t>
      </w:r>
    </w:p>
    <w:p w14:paraId="4D8A2C7A" w14:textId="783E279C" w:rsidR="00750BE1" w:rsidRPr="00750BE1" w:rsidRDefault="006927F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R</w:t>
      </w:r>
      <w:r w:rsidRPr="006927F0">
        <w:rPr>
          <w:rFonts w:eastAsia="Cambria" w:cs="Times New Roman"/>
          <w:bCs/>
          <w:sz w:val="20"/>
          <w:szCs w:val="20"/>
        </w:rPr>
        <w:t>ealizar las investigaciones sobre el paradero de Juan Carlos Flores Bedregal en el plazo de un año a partir de la notificación de la presente Sentencia, de conformidad con lo establecido en los párrafos 183 a 187 de la presente Sentencia</w:t>
      </w:r>
      <w:r>
        <w:rPr>
          <w:rFonts w:eastAsia="Cambria" w:cs="Times New Roman"/>
          <w:bCs/>
          <w:sz w:val="20"/>
          <w:szCs w:val="20"/>
        </w:rPr>
        <w:t>.</w:t>
      </w:r>
    </w:p>
    <w:p w14:paraId="48D92EB8" w14:textId="32F0834B" w:rsidR="00750BE1" w:rsidRPr="0010345B" w:rsidRDefault="006927F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B</w:t>
      </w:r>
      <w:r w:rsidRPr="006927F0">
        <w:rPr>
          <w:rFonts w:eastAsia="Cambria" w:cs="Times New Roman"/>
          <w:bCs/>
          <w:sz w:val="20"/>
          <w:szCs w:val="20"/>
        </w:rPr>
        <w:t>rindar a las víctimas las medidas de rehabilitación médicas y psicológicas en el plazo de seis meses a partir de la notificación del presente Fallo, de conformidad con lo establecido en el párrafo 189 de la presente Sentencia</w:t>
      </w:r>
      <w:r w:rsidR="00AF60D4">
        <w:rPr>
          <w:rFonts w:eastAsia="Cambria" w:cs="Times New Roman"/>
          <w:bCs/>
          <w:sz w:val="20"/>
          <w:szCs w:val="20"/>
        </w:rPr>
        <w:t>.</w:t>
      </w:r>
    </w:p>
    <w:p w14:paraId="4EE21FFC" w14:textId="1A40D860" w:rsidR="0010345B" w:rsidRPr="0010345B" w:rsidRDefault="006927F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R</w:t>
      </w:r>
      <w:r w:rsidRPr="006927F0">
        <w:rPr>
          <w:rFonts w:eastAsia="Cambria" w:cs="Times New Roman"/>
          <w:bCs/>
          <w:sz w:val="20"/>
          <w:szCs w:val="20"/>
        </w:rPr>
        <w:t>ealizar las publicaciones, en el plazo de seis meses a partir de la notificación de la presente Sentencia, de conformidad con lo establecido en el párrafo 191 de la presente Sentencia</w:t>
      </w:r>
      <w:r w:rsidR="0010345B" w:rsidRPr="0010345B">
        <w:rPr>
          <w:rFonts w:eastAsia="Cambria" w:cs="Times New Roman"/>
          <w:bCs/>
          <w:sz w:val="20"/>
          <w:szCs w:val="20"/>
        </w:rPr>
        <w:t>.</w:t>
      </w:r>
    </w:p>
    <w:p w14:paraId="53F1E9E7" w14:textId="7465DB5B" w:rsidR="0010345B" w:rsidRPr="0010345B" w:rsidRDefault="006927F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R</w:t>
      </w:r>
      <w:r w:rsidRPr="006927F0">
        <w:rPr>
          <w:rFonts w:eastAsia="Cambria" w:cs="Times New Roman"/>
          <w:bCs/>
          <w:sz w:val="20"/>
          <w:szCs w:val="20"/>
        </w:rPr>
        <w:t>ealizar en el plazo de un año a partir de la notificación de la presente Sentencia, un acto público de reconocimiento de responsabilidad internacional, de conformidad con lo establecido en el párrafo 193 de la presente Sentencia.</w:t>
      </w:r>
    </w:p>
    <w:p w14:paraId="02A71737" w14:textId="7936B22D" w:rsidR="0010345B" w:rsidRPr="0010345B" w:rsidRDefault="006927F0"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A</w:t>
      </w:r>
      <w:r w:rsidRPr="006927F0">
        <w:rPr>
          <w:rFonts w:eastAsia="Cambria" w:cs="Times New Roman"/>
          <w:bCs/>
          <w:sz w:val="20"/>
          <w:szCs w:val="20"/>
        </w:rPr>
        <w:t>doptar, en un plazo razonable a partir de la notificación de la presente Sentencia, las medidas legislativas, administrativas y de cualquier otra índole que sean necesarias para fortalecer el marco normativo de acceso a la información en casos de presuntas violaciones a los derechos humanos, y en particular en lo que respecta a la normativa que rige la reserva de información de la Ley Orgánica de las Fuerzas Armadas cuando impida el esclarecimiento de la desaparición forzada de personas, de conformidad con lo establecido en el párrafo 197 de la presente Sentencia.</w:t>
      </w:r>
    </w:p>
    <w:p w14:paraId="5F3259B8" w14:textId="017BEB25" w:rsidR="0010345B" w:rsidRPr="006927F0" w:rsidRDefault="006927F0" w:rsidP="0010345B">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L</w:t>
      </w:r>
      <w:r w:rsidRPr="006927F0">
        <w:rPr>
          <w:rFonts w:eastAsia="Cambria" w:cs="Times New Roman"/>
          <w:bCs/>
          <w:sz w:val="20"/>
          <w:szCs w:val="20"/>
        </w:rPr>
        <w:t>evantar la reserva de cualquier documentación relacionada con la desaparición forzada de Juan Carlos Flores Bedregal, en un plazo de un año contado a partir de la notificación de la presente Sentencia, de conformidad con lo establecido en el párrafo 198 de la presente Sentencia.</w:t>
      </w:r>
    </w:p>
    <w:p w14:paraId="09F89800" w14:textId="21CD92D7" w:rsidR="006927F0" w:rsidRPr="006927F0" w:rsidRDefault="006927F0" w:rsidP="0010345B">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E</w:t>
      </w:r>
      <w:r w:rsidRPr="006927F0">
        <w:rPr>
          <w:rFonts w:eastAsia="Cambria" w:cs="Times New Roman"/>
          <w:bCs/>
          <w:sz w:val="20"/>
          <w:szCs w:val="20"/>
        </w:rPr>
        <w:t>stablecer un sistema que permita el acceso digital abierto al Informe de la Comisión de la Verdad, en el plazo de un año contado a partir de la notificación de la presente Sentencia, de conformidad con lo establecido en el párrafo 199 de la presente Sentencia.</w:t>
      </w:r>
    </w:p>
    <w:p w14:paraId="6686FF05" w14:textId="736B51E5" w:rsidR="006927F0" w:rsidRPr="006927F0" w:rsidRDefault="006927F0" w:rsidP="0010345B">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6927F0">
        <w:rPr>
          <w:rFonts w:eastAsia="Cambria" w:cs="Times New Roman"/>
          <w:bCs/>
          <w:sz w:val="20"/>
          <w:szCs w:val="20"/>
        </w:rPr>
        <w:t>agar dentro del plazo de un año contado a partir de la notificación de esta Sentencia, las cantidades fijadas en los párrafos 206, 209, 213</w:t>
      </w:r>
      <w:r>
        <w:rPr>
          <w:rFonts w:eastAsia="Cambria" w:cs="Times New Roman"/>
          <w:bCs/>
          <w:sz w:val="20"/>
          <w:szCs w:val="20"/>
        </w:rPr>
        <w:t xml:space="preserve"> y</w:t>
      </w:r>
      <w:r w:rsidRPr="006927F0">
        <w:rPr>
          <w:rFonts w:eastAsia="Cambria" w:cs="Times New Roman"/>
          <w:bCs/>
          <w:sz w:val="20"/>
          <w:szCs w:val="20"/>
        </w:rPr>
        <w:t xml:space="preserve"> 214 de la presente Sentencia, por concepto de indemnización por daños materiales e inmateriales de conformidad con lo establecido en los referidos párrafos 205</w:t>
      </w:r>
      <w:r>
        <w:rPr>
          <w:rFonts w:eastAsia="Cambria" w:cs="Times New Roman"/>
          <w:bCs/>
          <w:sz w:val="20"/>
          <w:szCs w:val="20"/>
        </w:rPr>
        <w:t xml:space="preserve"> y</w:t>
      </w:r>
      <w:r w:rsidRPr="006927F0">
        <w:rPr>
          <w:rFonts w:eastAsia="Cambria" w:cs="Times New Roman"/>
          <w:bCs/>
          <w:sz w:val="20"/>
          <w:szCs w:val="20"/>
        </w:rPr>
        <w:t xml:space="preserve"> 212</w:t>
      </w:r>
      <w:r>
        <w:rPr>
          <w:rFonts w:eastAsia="Cambria" w:cs="Times New Roman"/>
          <w:bCs/>
          <w:sz w:val="20"/>
          <w:szCs w:val="20"/>
        </w:rPr>
        <w:t xml:space="preserve"> </w:t>
      </w:r>
      <w:r w:rsidRPr="006927F0">
        <w:rPr>
          <w:rFonts w:eastAsia="Cambria" w:cs="Times New Roman"/>
          <w:bCs/>
          <w:sz w:val="20"/>
          <w:szCs w:val="20"/>
        </w:rPr>
        <w:t>de la presente Sentencia.</w:t>
      </w:r>
    </w:p>
    <w:p w14:paraId="4ECC1A24" w14:textId="5A4DE176" w:rsidR="00AF60D4" w:rsidRPr="00DE4EBB" w:rsidRDefault="006927F0" w:rsidP="00DE4EBB">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6927F0">
        <w:rPr>
          <w:rFonts w:eastAsia="Cambria" w:cs="Times New Roman"/>
          <w:bCs/>
          <w:sz w:val="20"/>
          <w:szCs w:val="20"/>
        </w:rPr>
        <w:t xml:space="preserve">agar dentro del plazo de un año contado a partir de la notificación de esta Sentencia, las cantidades fijadas en </w:t>
      </w:r>
      <w:r>
        <w:rPr>
          <w:rFonts w:eastAsia="Cambria" w:cs="Times New Roman"/>
          <w:bCs/>
          <w:sz w:val="20"/>
          <w:szCs w:val="20"/>
        </w:rPr>
        <w:t>el</w:t>
      </w:r>
      <w:r w:rsidRPr="006927F0">
        <w:rPr>
          <w:rFonts w:eastAsia="Cambria" w:cs="Times New Roman"/>
          <w:bCs/>
          <w:sz w:val="20"/>
          <w:szCs w:val="20"/>
        </w:rPr>
        <w:t xml:space="preserve"> párrafo</w:t>
      </w:r>
      <w:r>
        <w:rPr>
          <w:rFonts w:eastAsia="Cambria" w:cs="Times New Roman"/>
          <w:bCs/>
          <w:sz w:val="20"/>
          <w:szCs w:val="20"/>
        </w:rPr>
        <w:t xml:space="preserve"> </w:t>
      </w:r>
      <w:r w:rsidRPr="006927F0">
        <w:rPr>
          <w:rFonts w:eastAsia="Cambria" w:cs="Times New Roman"/>
          <w:bCs/>
          <w:sz w:val="20"/>
          <w:szCs w:val="20"/>
        </w:rPr>
        <w:t>219 de la presente Sentencia, por concepto de reintegro de costas y gastos, de conformidad con lo establecido en los referidos párrafos 21</w:t>
      </w:r>
      <w:r w:rsidR="00AF60D4">
        <w:rPr>
          <w:rFonts w:eastAsia="Cambria" w:cs="Times New Roman"/>
          <w:bCs/>
          <w:sz w:val="20"/>
          <w:szCs w:val="20"/>
        </w:rPr>
        <w:t>9</w:t>
      </w:r>
      <w:r w:rsidRPr="006927F0">
        <w:rPr>
          <w:rFonts w:eastAsia="Cambria" w:cs="Times New Roman"/>
          <w:bCs/>
          <w:sz w:val="20"/>
          <w:szCs w:val="20"/>
        </w:rPr>
        <w:t xml:space="preserve"> y 220 de la presente Sentencia.</w:t>
      </w:r>
    </w:p>
    <w:sectPr w:rsidR="00AF60D4" w:rsidRPr="00DE4E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33BC" w14:textId="77777777" w:rsidR="00A77D8A" w:rsidRDefault="00A77D8A" w:rsidP="009F7EF4">
      <w:r>
        <w:separator/>
      </w:r>
    </w:p>
  </w:endnote>
  <w:endnote w:type="continuationSeparator" w:id="0">
    <w:p w14:paraId="0D813D2E" w14:textId="77777777" w:rsidR="00A77D8A" w:rsidRDefault="00A77D8A"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4F7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038ACAA"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FA91" w14:textId="77777777" w:rsidR="00A77D8A" w:rsidRDefault="00A77D8A" w:rsidP="009F7EF4">
      <w:r>
        <w:separator/>
      </w:r>
    </w:p>
  </w:footnote>
  <w:footnote w:type="continuationSeparator" w:id="0">
    <w:p w14:paraId="7256ED0E" w14:textId="77777777" w:rsidR="00A77D8A" w:rsidRDefault="00A77D8A"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28404529"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10345B">
          <w:rPr>
            <w:noProof/>
            <w:sz w:val="20"/>
            <w:szCs w:val="20"/>
          </w:rPr>
          <w:t>1</w:t>
        </w:r>
        <w:r w:rsidRPr="00675FE7">
          <w:rPr>
            <w:noProof/>
            <w:sz w:val="20"/>
            <w:szCs w:val="20"/>
          </w:rPr>
          <w:fldChar w:fldCharType="end"/>
        </w:r>
      </w:p>
    </w:sdtContent>
  </w:sdt>
  <w:p w14:paraId="44AA04CB"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86704">
    <w:abstractNumId w:val="6"/>
  </w:num>
  <w:num w:numId="2" w16cid:durableId="690913047">
    <w:abstractNumId w:val="2"/>
  </w:num>
  <w:num w:numId="3" w16cid:durableId="826676129">
    <w:abstractNumId w:val="5"/>
  </w:num>
  <w:num w:numId="4" w16cid:durableId="1104424299">
    <w:abstractNumId w:val="0"/>
  </w:num>
  <w:num w:numId="5" w16cid:durableId="1698844714">
    <w:abstractNumId w:val="1"/>
  </w:num>
  <w:num w:numId="6" w16cid:durableId="939339263">
    <w:abstractNumId w:val="3"/>
  </w:num>
  <w:num w:numId="7" w16cid:durableId="1620409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0345B"/>
    <w:rsid w:val="00125079"/>
    <w:rsid w:val="001426AA"/>
    <w:rsid w:val="00296F77"/>
    <w:rsid w:val="002B3295"/>
    <w:rsid w:val="002E376C"/>
    <w:rsid w:val="003A5A68"/>
    <w:rsid w:val="003A7E5E"/>
    <w:rsid w:val="003C561A"/>
    <w:rsid w:val="004458A1"/>
    <w:rsid w:val="00474D04"/>
    <w:rsid w:val="00476F6E"/>
    <w:rsid w:val="004F770B"/>
    <w:rsid w:val="005A203D"/>
    <w:rsid w:val="005B680E"/>
    <w:rsid w:val="005C5C8B"/>
    <w:rsid w:val="005D1A85"/>
    <w:rsid w:val="00617B3E"/>
    <w:rsid w:val="006927F0"/>
    <w:rsid w:val="006A777A"/>
    <w:rsid w:val="006C38A6"/>
    <w:rsid w:val="00707DF0"/>
    <w:rsid w:val="00750BE1"/>
    <w:rsid w:val="00792165"/>
    <w:rsid w:val="00834F1A"/>
    <w:rsid w:val="008C0B61"/>
    <w:rsid w:val="008C1FD0"/>
    <w:rsid w:val="008C63A9"/>
    <w:rsid w:val="00926FFB"/>
    <w:rsid w:val="00931C39"/>
    <w:rsid w:val="009832C0"/>
    <w:rsid w:val="009D22BE"/>
    <w:rsid w:val="009F7EF4"/>
    <w:rsid w:val="00A77D8A"/>
    <w:rsid w:val="00AB2467"/>
    <w:rsid w:val="00AE0035"/>
    <w:rsid w:val="00AF60D4"/>
    <w:rsid w:val="00B11B9B"/>
    <w:rsid w:val="00B32A37"/>
    <w:rsid w:val="00B33305"/>
    <w:rsid w:val="00BA6BA9"/>
    <w:rsid w:val="00BC5824"/>
    <w:rsid w:val="00C4747D"/>
    <w:rsid w:val="00C807CF"/>
    <w:rsid w:val="00C81A20"/>
    <w:rsid w:val="00CB5BB1"/>
    <w:rsid w:val="00CF7246"/>
    <w:rsid w:val="00D16260"/>
    <w:rsid w:val="00D3440D"/>
    <w:rsid w:val="00DE4EBB"/>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46F3"/>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2539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cp:lastPrinted>2018-07-09T19:23:00Z</cp:lastPrinted>
  <dcterms:created xsi:type="dcterms:W3CDTF">2024-12-20T22:51:00Z</dcterms:created>
  <dcterms:modified xsi:type="dcterms:W3CDTF">2024-12-20T22:51:00Z</dcterms:modified>
</cp:coreProperties>
</file>